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«01» августа 2025 года </w:t>
        <w:tab/>
        <w:tab/>
        <w:tab/>
        <w:tab/>
        <w:tab/>
        <w:tab/>
        <w:tab/>
        <w:t xml:space="preserve">          №  82/</w:t>
      </w:r>
      <w:r>
        <w:rPr>
          <w:rFonts w:ascii="Times New Roman" w:hAnsi="Times New Roman"/>
          <w:sz w:val="28"/>
          <w:szCs w:val="28"/>
        </w:rPr>
        <w:t>1081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 регистрации Никитенко Андрея Николаевича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трехмандатному избирательному округу № 8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Никитенко Андрея Николаевича,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8,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Никитенко Андрея Николаевича</w:t>
      </w:r>
      <w:r>
        <w:rPr>
          <w:color w:val="000000"/>
          <w:sz w:val="28"/>
          <w:szCs w:val="28"/>
        </w:rPr>
        <w:t>, 1970 года рождения, ИП, Глава КФХ, выдвинутого Краснодарским региональным отделением ВПП «ЕДИНАЯ РОССИЯ»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8, 01 августа 2025 года в  «</w:t>
      </w:r>
      <w:r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» часов «</w:t>
      </w:r>
      <w:r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>» минут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Никитенко Андрею Николаевичу </w:t>
      </w:r>
      <w:r>
        <w:rPr>
          <w:color w:val="000000"/>
          <w:sz w:val="28"/>
          <w:szCs w:val="28"/>
        </w:rPr>
        <w:t>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Application>LibreOffice/7.3.7.2$Linux_X86_64 LibreOffice_project/30$Build-2</Application>
  <AppVersion>15.0000</AppVersion>
  <Pages>2</Pages>
  <Words>245</Words>
  <Characters>1765</Characters>
  <CharactersWithSpaces>2150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2025-07-24T18:48:19Z</cp:lastPrinted>
  <dcterms:modified xsi:type="dcterms:W3CDTF">2025-07-31T19:49:00Z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